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58" w:rsidRDefault="00D66258" w:rsidP="00D66137">
      <w:pPr>
        <w:pStyle w:val="Kop2"/>
        <w:numPr>
          <w:ilvl w:val="1"/>
          <w:numId w:val="2"/>
        </w:numPr>
      </w:pPr>
      <w:bookmarkStart w:id="0" w:name="_Toc515377429"/>
      <w:r w:rsidRPr="00FE5157">
        <w:t>Resultaatbestemming</w:t>
      </w:r>
      <w:bookmarkEnd w:id="0"/>
    </w:p>
    <w:p w:rsidR="00D66137" w:rsidRPr="00D66137" w:rsidRDefault="00D66137" w:rsidP="00D66137"/>
    <w:tbl>
      <w:tblPr>
        <w:tblW w:w="9142" w:type="dxa"/>
        <w:tblLayout w:type="fixed"/>
        <w:tblCellMar>
          <w:left w:w="70" w:type="dxa"/>
          <w:right w:w="70" w:type="dxa"/>
        </w:tblCellMar>
        <w:tblLook w:val="04A0" w:firstRow="1" w:lastRow="0" w:firstColumn="1" w:lastColumn="0" w:noHBand="0" w:noVBand="1"/>
      </w:tblPr>
      <w:tblGrid>
        <w:gridCol w:w="489"/>
        <w:gridCol w:w="6385"/>
        <w:gridCol w:w="1134"/>
        <w:gridCol w:w="1134"/>
      </w:tblGrid>
      <w:tr w:rsidR="00D6613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center"/>
              <w:rPr>
                <w:b/>
                <w:color w:val="FFFFFF"/>
              </w:rPr>
            </w:pPr>
            <w:r>
              <w:rPr>
                <w:b/>
                <w:color w:val="FFFFFF"/>
              </w:rPr>
              <w:t> </w:t>
            </w:r>
          </w:p>
        </w:tc>
        <w:tc>
          <w:tcPr>
            <w:tcW w:w="6385"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vAlign w:val="bottom"/>
            <w:hideMark/>
          </w:tcPr>
          <w:p w:rsidR="00D66137" w:rsidRDefault="00D66137" w:rsidP="007454D7">
            <w:pPr>
              <w:rPr>
                <w:b/>
                <w:color w:val="FFFFFF"/>
              </w:rPr>
            </w:pPr>
            <w:r>
              <w:rPr>
                <w:b/>
                <w:color w:val="FFFFFF"/>
              </w:rPr>
              <w:t>Voorstel resultaatbestemming 201</w:t>
            </w:r>
            <w:r w:rsidR="007454D7">
              <w:rPr>
                <w:b/>
                <w:color w:val="FFFFFF"/>
              </w:rPr>
              <w:t>8</w:t>
            </w:r>
          </w:p>
        </w:tc>
        <w:tc>
          <w:tcPr>
            <w:tcW w:w="1134"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right"/>
              <w:rPr>
                <w:b/>
                <w:color w:val="FFFFFF"/>
              </w:rPr>
            </w:pPr>
            <w:r>
              <w:rPr>
                <w:b/>
                <w:color w:val="FFFFFF"/>
              </w:rPr>
              <w:t>Bedrag</w:t>
            </w:r>
          </w:p>
        </w:tc>
        <w:tc>
          <w:tcPr>
            <w:tcW w:w="1134" w:type="dxa"/>
            <w:tcBorders>
              <w:top w:val="none" w:sz="0" w:space="0" w:color="000000"/>
              <w:left w:val="none" w:sz="0" w:space="0" w:color="000000"/>
              <w:bottom w:val="single" w:sz="4" w:space="0" w:color="FFFFFF"/>
              <w:right w:val="single" w:sz="4" w:space="0" w:color="FFFFFF"/>
            </w:tcBorders>
            <w:shd w:val="clear" w:color="auto" w:fill="4F81BD"/>
          </w:tcPr>
          <w:p w:rsidR="00D66137" w:rsidRDefault="00D66137" w:rsidP="001066C7">
            <w:pPr>
              <w:jc w:val="right"/>
              <w:rPr>
                <w:b/>
                <w:color w:val="FFFFFF"/>
              </w:rPr>
            </w:pPr>
            <w:r>
              <w:rPr>
                <w:b/>
                <w:color w:val="FFFFFF"/>
              </w:rPr>
              <w:t>FCL/ECL</w:t>
            </w:r>
          </w:p>
        </w:tc>
      </w:tr>
      <w:tr w:rsidR="00D6613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4 Verkeer en vervoer</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1124"/>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1124"/>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5 Onderwijs, sport en cultuur</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777"/>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777"/>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777"/>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rPr>
                <w:b/>
              </w:rPr>
            </w:pPr>
            <w:r>
              <w:rPr>
                <w:b/>
              </w:rPr>
              <w:t>Programma 8 Zorg en welzijn</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pPr>
          </w:p>
        </w:tc>
      </w:tr>
      <w:tr w:rsidR="00D66137" w:rsidTr="00D66137">
        <w:trPr>
          <w:trHeight w:val="777"/>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spacing w:line="360" w:lineRule="auto"/>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Pr="007454D7" w:rsidRDefault="007454D7" w:rsidP="007454D7">
            <w:r w:rsidRPr="007454D7">
              <w:t>Het taalpunt (samenwerkingsverband) is op 5 november geopend in Het Vestzak in Son en Breugel.</w:t>
            </w:r>
            <w:r>
              <w:t xml:space="preserve"> </w:t>
            </w:r>
            <w:r w:rsidRPr="007454D7">
              <w:t>De geplande activiteiten hebben niet allemaal kunnen plaats vinden in 2018 en schuiven door naar 2019 en verder.</w:t>
            </w: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7454D7" w:rsidP="001066C7">
            <w:pPr>
              <w:jc w:val="right"/>
            </w:pPr>
            <w:r>
              <w:t>43298</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7454D7" w:rsidP="001066C7">
            <w:pPr>
              <w:jc w:val="right"/>
            </w:pPr>
            <w:r>
              <w:t>6623001/42100 U</w:t>
            </w: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Pr="00FE515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Pr="00FE5157" w:rsidRDefault="00D66137" w:rsidP="001066C7">
            <w:pPr>
              <w:rPr>
                <w:b/>
              </w:rPr>
            </w:pPr>
            <w:r w:rsidRPr="00FE5157">
              <w:rPr>
                <w:b/>
              </w:rPr>
              <w:t>Programma 10 Ruimtelijke inrichting</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Pr="00FE515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Pr="00FE5157" w:rsidRDefault="00D66137" w:rsidP="001066C7">
            <w:pPr>
              <w:jc w:val="right"/>
              <w:rPr>
                <w:b/>
              </w:rPr>
            </w:pP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DBE5F1"/>
            <w:tcMar>
              <w:top w:w="0" w:type="dxa"/>
              <w:left w:w="70" w:type="dxa"/>
              <w:bottom w:w="0" w:type="dxa"/>
              <w:right w:w="70" w:type="dxa"/>
            </w:tcMar>
          </w:tcPr>
          <w:p w:rsidR="00D66137" w:rsidRPr="00FE5157" w:rsidRDefault="00D66137" w:rsidP="001066C7">
            <w:pPr>
              <w:jc w:val="center"/>
              <w:rPr>
                <w:rFonts w:cs="Arial"/>
                <w:b/>
              </w:rPr>
            </w:pPr>
          </w:p>
        </w:tc>
        <w:tc>
          <w:tcPr>
            <w:tcW w:w="6385" w:type="dxa"/>
            <w:tcBorders>
              <w:top w:val="none" w:sz="0" w:space="0" w:color="000000"/>
              <w:left w:val="none" w:sz="0" w:space="0" w:color="000000"/>
              <w:bottom w:val="single" w:sz="4" w:space="0" w:color="FFFFFF"/>
              <w:right w:val="single" w:sz="4" w:space="0" w:color="FFFFFF"/>
            </w:tcBorders>
            <w:shd w:val="clear" w:color="auto" w:fill="DBE5F1"/>
            <w:tcMar>
              <w:top w:w="0" w:type="dxa"/>
              <w:left w:w="70" w:type="dxa"/>
              <w:bottom w:w="0" w:type="dxa"/>
              <w:right w:w="70" w:type="dxa"/>
            </w:tcMar>
            <w:vAlign w:val="bottom"/>
          </w:tcPr>
          <w:p w:rsidR="00D66137" w:rsidRPr="00BB7607" w:rsidRDefault="00D66137" w:rsidP="001066C7">
            <w:pPr>
              <w:rPr>
                <w:rFonts w:cs="Arial"/>
                <w:highlight w:val="yellow"/>
              </w:rPr>
            </w:pPr>
          </w:p>
        </w:tc>
        <w:tc>
          <w:tcPr>
            <w:tcW w:w="1134" w:type="dxa"/>
            <w:tcBorders>
              <w:top w:val="none" w:sz="0" w:space="0" w:color="000000"/>
              <w:left w:val="none" w:sz="0" w:space="0" w:color="000000"/>
              <w:bottom w:val="single" w:sz="4" w:space="0" w:color="FFFFFF"/>
              <w:right w:val="single" w:sz="4" w:space="0" w:color="FFFFFF"/>
            </w:tcBorders>
            <w:shd w:val="clear" w:color="auto" w:fill="DBE5F1"/>
            <w:tcMar>
              <w:top w:w="0" w:type="dxa"/>
              <w:left w:w="70" w:type="dxa"/>
              <w:bottom w:w="0" w:type="dxa"/>
              <w:right w:w="70" w:type="dxa"/>
            </w:tcMar>
          </w:tcPr>
          <w:p w:rsidR="00D66137" w:rsidRPr="00FE515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BE5F1"/>
          </w:tcPr>
          <w:p w:rsidR="00D66137" w:rsidRPr="00DE753C" w:rsidRDefault="00D66137" w:rsidP="001066C7">
            <w:pPr>
              <w:jc w:val="right"/>
              <w:rPr>
                <w:highlight w:val="yellow"/>
              </w:rPr>
            </w:pP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DBE5F1"/>
            <w:tcMar>
              <w:top w:w="0" w:type="dxa"/>
              <w:left w:w="70" w:type="dxa"/>
              <w:bottom w:w="0" w:type="dxa"/>
              <w:right w:w="70" w:type="dxa"/>
            </w:tcMar>
          </w:tcPr>
          <w:p w:rsidR="00D66137" w:rsidRPr="00FE515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DBE5F1"/>
            <w:tcMar>
              <w:top w:w="0" w:type="dxa"/>
              <w:left w:w="70" w:type="dxa"/>
              <w:bottom w:w="0" w:type="dxa"/>
              <w:right w:w="70" w:type="dxa"/>
            </w:tcMar>
            <w:vAlign w:val="bottom"/>
          </w:tcPr>
          <w:p w:rsidR="00D66137" w:rsidRPr="00FE515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BE5F1"/>
            <w:tcMar>
              <w:top w:w="0" w:type="dxa"/>
              <w:left w:w="70" w:type="dxa"/>
              <w:bottom w:w="0" w:type="dxa"/>
              <w:right w:w="70" w:type="dxa"/>
            </w:tcMar>
          </w:tcPr>
          <w:p w:rsidR="00D66137" w:rsidRPr="00FE515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BE5F1"/>
          </w:tcPr>
          <w:p w:rsidR="00D66137" w:rsidRPr="00FE5157" w:rsidRDefault="00D66137" w:rsidP="001066C7">
            <w:pPr>
              <w:jc w:val="right"/>
            </w:pP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12 Algemene dekkingsmiddelen</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center"/>
              <w:rPr>
                <w:b/>
              </w:rPr>
            </w:pP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12 Algemene dekkingsmiddelen: bedrijfsvoering</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RPr="00FE5157" w:rsidTr="00D66137">
        <w:trPr>
          <w:trHeight w:val="840"/>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FB105D" w:rsidRPr="00E62332" w:rsidRDefault="00FB105D" w:rsidP="00FB105D">
            <w:pPr>
              <w:rPr>
                <w:b/>
              </w:rPr>
            </w:pPr>
            <w:r w:rsidRPr="00E62332">
              <w:rPr>
                <w:b/>
              </w:rPr>
              <w:t>Opleidingsbudget</w:t>
            </w:r>
          </w:p>
          <w:p w:rsidR="00FB105D" w:rsidRPr="00E62332" w:rsidRDefault="00FB105D" w:rsidP="00FB105D">
            <w:pPr>
              <w:pStyle w:val="Tekstzonderopmaak"/>
              <w:rPr>
                <w:rFonts w:ascii="Arial" w:eastAsia="Times New Roman" w:hAnsi="Arial"/>
                <w:color w:val="000000"/>
                <w:sz w:val="20"/>
                <w:szCs w:val="20"/>
                <w:lang w:eastAsia="nl-NL"/>
              </w:rPr>
            </w:pPr>
            <w:r w:rsidRPr="00E62332">
              <w:rPr>
                <w:rFonts w:ascii="Arial" w:eastAsia="Times New Roman" w:hAnsi="Arial"/>
                <w:color w:val="000000"/>
                <w:sz w:val="20"/>
                <w:szCs w:val="20"/>
                <w:lang w:eastAsia="nl-NL"/>
              </w:rPr>
              <w:t xml:space="preserve">Scholing omgevingswet </w:t>
            </w:r>
            <w:r w:rsidR="00E62332">
              <w:rPr>
                <w:rFonts w:ascii="Arial" w:eastAsia="Times New Roman" w:hAnsi="Arial"/>
                <w:color w:val="000000"/>
                <w:sz w:val="20"/>
                <w:szCs w:val="20"/>
                <w:lang w:eastAsia="nl-NL"/>
              </w:rPr>
              <w:t>€ </w:t>
            </w:r>
            <w:r w:rsidRPr="00E62332">
              <w:rPr>
                <w:rFonts w:ascii="Arial" w:eastAsia="Times New Roman" w:hAnsi="Arial"/>
                <w:color w:val="000000"/>
                <w:sz w:val="20"/>
                <w:szCs w:val="20"/>
                <w:lang w:eastAsia="nl-NL"/>
              </w:rPr>
              <w:t>10.000</w:t>
            </w:r>
            <w:r w:rsidR="00E62332">
              <w:rPr>
                <w:rFonts w:ascii="Arial" w:eastAsia="Times New Roman" w:hAnsi="Arial"/>
                <w:color w:val="000000"/>
                <w:sz w:val="20"/>
                <w:szCs w:val="20"/>
                <w:lang w:eastAsia="nl-NL"/>
              </w:rPr>
              <w:t>,-</w:t>
            </w:r>
            <w:r w:rsidRPr="00E62332">
              <w:rPr>
                <w:rFonts w:ascii="Arial" w:eastAsia="Times New Roman" w:hAnsi="Arial"/>
                <w:color w:val="000000"/>
                <w:sz w:val="20"/>
                <w:szCs w:val="20"/>
                <w:lang w:eastAsia="nl-NL"/>
              </w:rPr>
              <w:t>. Project is inmiddels gestart.</w:t>
            </w:r>
          </w:p>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E62332" w:rsidP="001066C7">
            <w:pPr>
              <w:jc w:val="right"/>
            </w:pPr>
            <w:r>
              <w:t>10.000</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E62332" w:rsidP="001066C7">
            <w:pPr>
              <w:jc w:val="right"/>
            </w:pPr>
            <w:r>
              <w:t>5000300/34329</w:t>
            </w:r>
          </w:p>
          <w:p w:rsidR="00E62332" w:rsidRDefault="00E62332" w:rsidP="001066C7">
            <w:pPr>
              <w:jc w:val="right"/>
            </w:pP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r>
              <w:rPr>
                <w:b/>
              </w:rPr>
              <w:t>Teambuildingsbudget</w:t>
            </w:r>
          </w:p>
          <w:p w:rsidR="00D66137" w:rsidRDefault="00D66137" w:rsidP="001066C7">
            <w:r>
              <w:t xml:space="preserve">Jaarlijks wordt door iedere afdeling een teambuildingsactiviteit georganiseerd. Hiervoor wordt per persoon een budget beschikbaar gesteld. Uitvoering is per afdeling verschillend. De afdeling is zelf verantwoordelijk voor de organisatie van een teambuildingsactiviteit. De afdelingen zijn vrij het beschikbare bedrag te besteden binnen de kaders die worden gesteld aan teambuildingsactiviteiten. Het is binnen de gemeente Son en Breugel bestaand beleid dat het restant bedrag van het voorgaande jaar meegenomen mag worden naar het nieuwe jaar. Een afdeling die niet alles besteed heeft kan op die manier in het volgende jaar een extra of duurdere activiteit organiseren. </w:t>
            </w:r>
          </w:p>
          <w:p w:rsidR="00D66137" w:rsidRDefault="00D66137" w:rsidP="001066C7">
            <w:r>
              <w:t xml:space="preserve">Ook wordt het te veel uitgegeven bedrag (negatief) in een jaar gecorrigeerd met het nieuw te ontvangen budget. </w:t>
            </w: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r>
              <w:t>3</w:t>
            </w:r>
            <w:r w:rsidR="006B675F">
              <w:t>.491</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3E789C" w:rsidRDefault="003E789C" w:rsidP="003E789C">
            <w:pPr>
              <w:jc w:val="right"/>
            </w:pPr>
            <w:r>
              <w:t>5501000/</w:t>
            </w:r>
          </w:p>
          <w:p w:rsidR="003E789C" w:rsidRDefault="003E789C" w:rsidP="003E789C">
            <w:pPr>
              <w:jc w:val="right"/>
            </w:pPr>
            <w:r>
              <w:t>5503000/</w:t>
            </w:r>
          </w:p>
          <w:p w:rsidR="003E789C" w:rsidRDefault="003E789C" w:rsidP="003E789C">
            <w:pPr>
              <w:jc w:val="right"/>
            </w:pPr>
            <w:r>
              <w:t>5507000/</w:t>
            </w:r>
          </w:p>
          <w:p w:rsidR="003E789C" w:rsidRDefault="003E789C" w:rsidP="003E789C">
            <w:pPr>
              <w:jc w:val="right"/>
            </w:pPr>
            <w:r>
              <w:t>5510000/</w:t>
            </w:r>
          </w:p>
          <w:p w:rsidR="00D66137" w:rsidRDefault="003E789C" w:rsidP="003E789C">
            <w:pPr>
              <w:jc w:val="right"/>
            </w:pPr>
            <w:r>
              <w:t>34347</w:t>
            </w: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Pr="00FE5157" w:rsidRDefault="00D66137" w:rsidP="001066C7">
            <w:pPr>
              <w:jc w:val="center"/>
              <w:rPr>
                <w:b/>
              </w:rPr>
            </w:pPr>
          </w:p>
        </w:tc>
        <w:tc>
          <w:tcPr>
            <w:tcW w:w="6385"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Pr="00FE5157" w:rsidRDefault="00D66137" w:rsidP="001066C7">
            <w:pPr>
              <w:rPr>
                <w:b/>
              </w:rPr>
            </w:pPr>
            <w:r w:rsidRPr="00FE5157">
              <w:rPr>
                <w:b/>
              </w:rPr>
              <w:t>Restant resultaat storten in reserve</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RPr="00FE5157" w:rsidTr="00D66137">
        <w:trPr>
          <w:trHeight w:val="556"/>
        </w:trPr>
        <w:tc>
          <w:tcPr>
            <w:tcW w:w="489"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Pr="00FE5157" w:rsidRDefault="00D66137" w:rsidP="001066C7">
            <w:pPr>
              <w:jc w:val="center"/>
            </w:pPr>
            <w:r w:rsidRPr="00FE5157">
              <w:t>15</w:t>
            </w:r>
          </w:p>
        </w:tc>
        <w:tc>
          <w:tcPr>
            <w:tcW w:w="6385"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Pr="00197202" w:rsidRDefault="00D66137" w:rsidP="001066C7">
            <w:pPr>
              <w:rPr>
                <w:highlight w:val="yellow"/>
              </w:rPr>
            </w:pPr>
            <w:r w:rsidRPr="00197202">
              <w:rPr>
                <w:b/>
                <w:highlight w:val="yellow"/>
              </w:rPr>
              <w:t>Toevoeging aan reserve vrije bestedingsruimte</w:t>
            </w:r>
            <w:r w:rsidRPr="00197202">
              <w:rPr>
                <w:highlight w:val="yellow"/>
              </w:rPr>
              <w:t xml:space="preserve"> </w:t>
            </w:r>
          </w:p>
          <w:p w:rsidR="00D66137" w:rsidRPr="00197202" w:rsidRDefault="00D66137" w:rsidP="001066C7">
            <w:pPr>
              <w:rPr>
                <w:highlight w:val="yellow"/>
              </w:rPr>
            </w:pPr>
            <w:r w:rsidRPr="00197202">
              <w:rPr>
                <w:highlight w:val="yellow"/>
              </w:rPr>
              <w:t>Het restant toe te voegen aan de reserve vrije bestedingsruimte.</w:t>
            </w: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Pr="002C280A" w:rsidRDefault="00D66137" w:rsidP="001066C7">
            <w:pPr>
              <w:jc w:val="right"/>
              <w:rPr>
                <w:highlight w:val="yellow"/>
              </w:rPr>
            </w:pPr>
          </w:p>
        </w:tc>
      </w:tr>
      <w:tr w:rsidR="00D66137" w:rsidRPr="00FE5157" w:rsidTr="00D66137">
        <w:trPr>
          <w:trHeight w:val="300"/>
        </w:trPr>
        <w:tc>
          <w:tcPr>
            <w:tcW w:w="489" w:type="dxa"/>
            <w:tcBorders>
              <w:top w:val="none" w:sz="0" w:space="0" w:color="000000"/>
              <w:left w:val="single" w:sz="4" w:space="0" w:color="FFFFFF"/>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Pr="00FE5157" w:rsidRDefault="00D66137" w:rsidP="001066C7">
            <w:pPr>
              <w:jc w:val="center"/>
              <w:rPr>
                <w:b/>
                <w:color w:val="FFFFFF"/>
              </w:rPr>
            </w:pPr>
          </w:p>
        </w:tc>
        <w:tc>
          <w:tcPr>
            <w:tcW w:w="6385"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vAlign w:val="bottom"/>
            <w:hideMark/>
          </w:tcPr>
          <w:p w:rsidR="00D66137" w:rsidRPr="00197202" w:rsidRDefault="00D66137" w:rsidP="001066C7">
            <w:pPr>
              <w:rPr>
                <w:b/>
                <w:color w:val="FFFFFF"/>
                <w:highlight w:val="yellow"/>
              </w:rPr>
            </w:pPr>
            <w:r w:rsidRPr="00197202">
              <w:rPr>
                <w:b/>
                <w:color w:val="FFFFFF"/>
                <w:highlight w:val="yellow"/>
              </w:rPr>
              <w:t>Totale resultaatbestemming</w:t>
            </w:r>
          </w:p>
        </w:tc>
        <w:tc>
          <w:tcPr>
            <w:tcW w:w="1134"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tcPr>
          <w:p w:rsidR="00D66137" w:rsidRPr="00197202" w:rsidRDefault="00D66137" w:rsidP="001066C7">
            <w:pPr>
              <w:jc w:val="right"/>
              <w:rPr>
                <w:b/>
                <w:color w:val="FFFFFF"/>
                <w:highlight w:val="yellow"/>
              </w:rPr>
            </w:pPr>
            <w:r>
              <w:rPr>
                <w:b/>
                <w:color w:val="FFFFFF"/>
                <w:highlight w:val="yellow"/>
              </w:rPr>
              <w:t>3.595.636</w:t>
            </w:r>
          </w:p>
        </w:tc>
        <w:tc>
          <w:tcPr>
            <w:tcW w:w="1134" w:type="dxa"/>
            <w:tcBorders>
              <w:top w:val="none" w:sz="0" w:space="0" w:color="000000"/>
              <w:left w:val="none" w:sz="0" w:space="0" w:color="000000"/>
              <w:bottom w:val="single" w:sz="4" w:space="0" w:color="FFFFFF"/>
              <w:right w:val="single" w:sz="4" w:space="0" w:color="FFFFFF"/>
            </w:tcBorders>
            <w:shd w:val="clear" w:color="auto" w:fill="4F81BD"/>
          </w:tcPr>
          <w:p w:rsidR="00D66137" w:rsidRDefault="00D66137" w:rsidP="001066C7">
            <w:pPr>
              <w:jc w:val="right"/>
              <w:rPr>
                <w:b/>
                <w:color w:val="FFFFFF"/>
                <w:highlight w:val="yellow"/>
              </w:rPr>
            </w:pPr>
          </w:p>
        </w:tc>
      </w:tr>
    </w:tbl>
    <w:p w:rsidR="00D66258" w:rsidRPr="00FE5157" w:rsidRDefault="00D66258" w:rsidP="00D66258"/>
    <w:p w:rsidR="00D66258" w:rsidRPr="00FE5157" w:rsidRDefault="00D66258" w:rsidP="00D66258">
      <w:pPr>
        <w:pStyle w:val="Kop2"/>
      </w:pPr>
      <w:bookmarkStart w:id="1" w:name="_Toc515377430"/>
      <w:r w:rsidRPr="00FE5157">
        <w:t>1.2 Doorschuiven onttrekking reserves</w:t>
      </w:r>
      <w:bookmarkEnd w:id="1"/>
    </w:p>
    <w:p w:rsidR="00D66258" w:rsidRPr="00FE5157" w:rsidRDefault="00D66258" w:rsidP="00D66258">
      <w:bookmarkStart w:id="2" w:name="P12cbbf165de640b5b1235a7e66354a64"/>
      <w:bookmarkEnd w:id="2"/>
      <w:r w:rsidRPr="00FE5157">
        <w:t>Op diverse plekken zijn budgetten niet besteed, die bekostigd worden uit een reserve. Ook hierbij geldt dat de benutting van de middelen voor de daarvoor bedoelde activiteiten doorgeschoven wordt naar 201</w:t>
      </w:r>
      <w:r w:rsidR="007454D7">
        <w:t>9</w:t>
      </w:r>
      <w:r w:rsidRPr="00FE5157">
        <w:t xml:space="preserve">. De corresponderende onttrekking uit de reserve vindt ook plaats </w:t>
      </w:r>
      <w:r w:rsidRPr="00FE5157">
        <w:rPr>
          <w:highlight w:val="yellow"/>
        </w:rPr>
        <w:t>in 201</w:t>
      </w:r>
      <w:r w:rsidR="007454D7">
        <w:rPr>
          <w:highlight w:val="yellow"/>
        </w:rPr>
        <w:t>9</w:t>
      </w:r>
      <w:r w:rsidRPr="00FE5157">
        <w:t xml:space="preserve">. Per saldo heeft dit geen invloed. Ook in het overzicht investeringen en projecten staan diverse projecten die onttrokken worden aan </w:t>
      </w:r>
      <w:r>
        <w:t>een</w:t>
      </w:r>
      <w:r w:rsidRPr="00FE5157">
        <w:t xml:space="preserve"> reserve of voorziening. Alle verschuivingen zijn opgenomen in onderstaand overzicht.</w:t>
      </w:r>
    </w:p>
    <w:p w:rsidR="00D66258" w:rsidRPr="00FE5157" w:rsidRDefault="00D66258" w:rsidP="00D66258"/>
    <w:tbl>
      <w:tblPr>
        <w:tblW w:w="9142" w:type="dxa"/>
        <w:tblLayout w:type="fixed"/>
        <w:tblCellMar>
          <w:left w:w="70" w:type="dxa"/>
          <w:right w:w="70" w:type="dxa"/>
        </w:tblCellMar>
        <w:tblLook w:val="04A0" w:firstRow="1" w:lastRow="0" w:firstColumn="1" w:lastColumn="0" w:noHBand="0" w:noVBand="1"/>
      </w:tblPr>
      <w:tblGrid>
        <w:gridCol w:w="552"/>
        <w:gridCol w:w="6322"/>
        <w:gridCol w:w="1134"/>
        <w:gridCol w:w="1134"/>
      </w:tblGrid>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center"/>
              <w:rPr>
                <w:b/>
                <w:color w:val="FFFFFF"/>
              </w:rPr>
            </w:pPr>
            <w:r>
              <w:rPr>
                <w:b/>
                <w:color w:val="FFFFFF"/>
              </w:rPr>
              <w:t> </w:t>
            </w:r>
          </w:p>
        </w:tc>
        <w:tc>
          <w:tcPr>
            <w:tcW w:w="6322"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vAlign w:val="bottom"/>
            <w:hideMark/>
          </w:tcPr>
          <w:p w:rsidR="00D66137" w:rsidRDefault="00D66137" w:rsidP="007454D7">
            <w:pPr>
              <w:rPr>
                <w:b/>
                <w:color w:val="FFFFFF"/>
              </w:rPr>
            </w:pPr>
            <w:r>
              <w:rPr>
                <w:b/>
                <w:color w:val="FFFFFF"/>
              </w:rPr>
              <w:t>Voorstel resultaatbestemming 201</w:t>
            </w:r>
            <w:r w:rsidR="007454D7">
              <w:rPr>
                <w:b/>
                <w:color w:val="FFFFFF"/>
              </w:rPr>
              <w:t>8</w:t>
            </w:r>
          </w:p>
        </w:tc>
        <w:tc>
          <w:tcPr>
            <w:tcW w:w="1134"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right"/>
              <w:rPr>
                <w:b/>
                <w:color w:val="FFFFFF"/>
              </w:rPr>
            </w:pPr>
            <w:r>
              <w:rPr>
                <w:b/>
                <w:color w:val="FFFFFF"/>
              </w:rPr>
              <w:t>Bedrag</w:t>
            </w:r>
          </w:p>
        </w:tc>
        <w:tc>
          <w:tcPr>
            <w:tcW w:w="1134" w:type="dxa"/>
            <w:tcBorders>
              <w:top w:val="none" w:sz="0" w:space="0" w:color="000000"/>
              <w:left w:val="none" w:sz="0" w:space="0" w:color="000000"/>
              <w:bottom w:val="single" w:sz="4" w:space="0" w:color="FFFFFF"/>
              <w:right w:val="single" w:sz="4" w:space="0" w:color="FFFFFF"/>
            </w:tcBorders>
            <w:shd w:val="clear" w:color="auto" w:fill="4F81BD"/>
          </w:tcPr>
          <w:p w:rsidR="00D66137" w:rsidRDefault="00D66137" w:rsidP="001066C7">
            <w:pPr>
              <w:jc w:val="right"/>
              <w:rPr>
                <w:b/>
                <w:color w:val="FFFFFF"/>
              </w:rPr>
            </w:pPr>
            <w:r>
              <w:rPr>
                <w:b/>
                <w:color w:val="FFFFFF"/>
              </w:rPr>
              <w:t>FCL/ECL</w:t>
            </w:r>
          </w:p>
        </w:tc>
      </w:tr>
      <w:tr w:rsidR="00D66137" w:rsidTr="00D66137">
        <w:trPr>
          <w:trHeight w:val="312"/>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rPr>
                <w:b/>
              </w:rPr>
            </w:pPr>
            <w:r>
              <w:rPr>
                <w:b/>
              </w:rPr>
              <w:t>Programma 2 Publieke dienstverlening</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pPr>
          </w:p>
        </w:tc>
      </w:tr>
      <w:tr w:rsidR="00D66137" w:rsidTr="00D66137">
        <w:trPr>
          <w:trHeight w:val="57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4 Verkeer en vervoer</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561"/>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61"/>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DBE5F1"/>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DBE5F1"/>
            <w:tcMar>
              <w:top w:w="0" w:type="dxa"/>
              <w:left w:w="70" w:type="dxa"/>
              <w:bottom w:w="0" w:type="dxa"/>
              <w:right w:w="70" w:type="dxa"/>
            </w:tcMar>
            <w:vAlign w:val="bottom"/>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BE5F1"/>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BE5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5 Onderwijs, sport en cultuur</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830"/>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ind w:left="48"/>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ind w:left="48"/>
              <w:jc w:val="right"/>
            </w:pPr>
          </w:p>
        </w:tc>
      </w:tr>
      <w:tr w:rsidR="00D66137" w:rsidTr="00D66137">
        <w:trPr>
          <w:trHeight w:val="923"/>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1124"/>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52"/>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777"/>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6 Openbaar groen en openluchtrecreatie</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1200"/>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Pr="003B7ED9" w:rsidRDefault="00D66137" w:rsidP="001066C7">
            <w:pPr>
              <w:rPr>
                <w:b/>
                <w:highlight w:val="yellow"/>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Pr="003B7ED9" w:rsidRDefault="00D66137" w:rsidP="001066C7">
            <w:pPr>
              <w:jc w:val="right"/>
              <w:rPr>
                <w:highlight w:val="yellow"/>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Pr="003B7ED9" w:rsidRDefault="00D66137" w:rsidP="001066C7">
            <w:pPr>
              <w:jc w:val="right"/>
              <w:rPr>
                <w:highlight w:val="yellow"/>
              </w:rPr>
            </w:pPr>
          </w:p>
        </w:tc>
      </w:tr>
      <w:tr w:rsidR="00D66137" w:rsidTr="00D66137">
        <w:trPr>
          <w:trHeight w:val="1124"/>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9 Milieu en duurzaamheid</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748"/>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10 Ruimtelijke inrichting</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1019"/>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748"/>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6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4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11 Economie</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Pr="000C7A9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26"/>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r>
              <w:rPr>
                <w:b/>
              </w:rPr>
              <w:t xml:space="preserve">Programma 12 Algemene dekkingsmiddelen: </w:t>
            </w:r>
          </w:p>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r>
              <w:rPr>
                <w:b/>
              </w:rPr>
              <w:t xml:space="preserve">Zaakgericht werken </w:t>
            </w:r>
          </w:p>
          <w:p w:rsidR="00AE736B" w:rsidRDefault="00AE736B" w:rsidP="00AE736B">
            <w:r>
              <w:t xml:space="preserve">In 2018 is gestart met het programma </w:t>
            </w:r>
            <w:proofErr w:type="spellStart"/>
            <w:r>
              <w:t>BeteERe</w:t>
            </w:r>
            <w:proofErr w:type="spellEnd"/>
            <w:r>
              <w:t xml:space="preserve"> dienstverlening en bedrijfsvoering. Een belangrijk onderdeel van het programma is de invoering van het zaakgericht werken.</w:t>
            </w:r>
            <w:r>
              <w:t xml:space="preserve"> </w:t>
            </w:r>
            <w:r>
              <w:t>Hiervoor wordt een zogenaamd zaaksysteem ingezet. Het zaaksysteem speelt een centrale rol in de digitalisering van de processen van de gemeente.</w:t>
            </w:r>
          </w:p>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B210A7" w:rsidP="00B210A7">
            <w:pPr>
              <w:jc w:val="right"/>
            </w:pPr>
            <w:r>
              <w:t>125</w:t>
            </w:r>
            <w:r w:rsidR="00D66137">
              <w:t>.000</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r>
              <w:rPr>
                <w:b/>
              </w:rPr>
              <w:t xml:space="preserve">Organisatieontwikkeling/kwaliteitsontwikkeling (opleidingen) </w:t>
            </w:r>
          </w:p>
          <w:p w:rsidR="00D66137" w:rsidRDefault="00FB105D" w:rsidP="00FB105D">
            <w:r>
              <w:t xml:space="preserve">Gekoppeld aan zaakgericht werken gaat gewerkt worden aan het </w:t>
            </w:r>
            <w:proofErr w:type="spellStart"/>
            <w:r>
              <w:t>lean</w:t>
            </w:r>
            <w:proofErr w:type="spellEnd"/>
            <w:r>
              <w:t xml:space="preserve"> maken van processen. Hiervoor is een bedrag van € 20.000,- nodig.</w:t>
            </w:r>
          </w:p>
          <w:p w:rsidR="00FB105D" w:rsidRDefault="00FB105D" w:rsidP="00FB105D">
            <w:r>
              <w:t>Daarnaast zal er ook een traject van kwaliteitsontwikkeling van start gaan. Het is daarom wenselijk dat er hiervoor in 201</w:t>
            </w:r>
            <w:r>
              <w:t>9</w:t>
            </w:r>
            <w:r>
              <w:t xml:space="preserve"> een bedrag van € </w:t>
            </w:r>
            <w:r>
              <w:t>2</w:t>
            </w:r>
            <w:r>
              <w:t>0.000</w:t>
            </w:r>
            <w:r>
              <w:t>,-</w:t>
            </w:r>
            <w:r>
              <w:t xml:space="preserve"> beschikbaar is.  </w:t>
            </w: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FB105D" w:rsidP="001066C7">
            <w:pPr>
              <w:jc w:val="right"/>
            </w:pPr>
            <w:r>
              <w:t>40.000</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283"/>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FB105D" w:rsidRDefault="00FB105D" w:rsidP="00FB105D"/>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rPr>
                <w:color w:val="auto"/>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rPr>
                <w:color w:val="auto"/>
              </w:rPr>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rPr>
                <w:color w:val="auto"/>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rPr>
                <w:color w:val="auto"/>
              </w:rPr>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center"/>
              <w:rPr>
                <w:b/>
                <w:color w:val="FFFFFF"/>
              </w:rPr>
            </w:pPr>
          </w:p>
        </w:tc>
        <w:tc>
          <w:tcPr>
            <w:tcW w:w="6322"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vAlign w:val="bottom"/>
            <w:hideMark/>
          </w:tcPr>
          <w:p w:rsidR="00D66137" w:rsidRDefault="00D66137" w:rsidP="001066C7">
            <w:pPr>
              <w:rPr>
                <w:b/>
                <w:color w:val="FFFFFF"/>
              </w:rPr>
            </w:pPr>
            <w:r>
              <w:rPr>
                <w:b/>
                <w:color w:val="FFFFFF"/>
              </w:rPr>
              <w:t>Overzicht van investeringen en projecten</w:t>
            </w:r>
          </w:p>
        </w:tc>
        <w:tc>
          <w:tcPr>
            <w:tcW w:w="1134"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right"/>
              <w:rPr>
                <w:b/>
                <w:color w:val="FFFFFF"/>
              </w:rPr>
            </w:pPr>
          </w:p>
        </w:tc>
        <w:tc>
          <w:tcPr>
            <w:tcW w:w="1134" w:type="dxa"/>
            <w:tcBorders>
              <w:top w:val="none" w:sz="0" w:space="0" w:color="000000"/>
              <w:left w:val="none" w:sz="0" w:space="0" w:color="000000"/>
              <w:bottom w:val="single" w:sz="4" w:space="0" w:color="FFFFFF"/>
              <w:right w:val="single" w:sz="4" w:space="0" w:color="FFFFFF"/>
            </w:tcBorders>
            <w:shd w:val="clear" w:color="auto" w:fill="4F81BD"/>
          </w:tcPr>
          <w:p w:rsidR="00D66137" w:rsidRDefault="00D66137" w:rsidP="001066C7">
            <w:pPr>
              <w:jc w:val="right"/>
              <w:rPr>
                <w:b/>
                <w:color w:val="FFFFFF"/>
              </w:rPr>
            </w:pPr>
            <w:r>
              <w:rPr>
                <w:b/>
                <w:color w:val="FFFFFF"/>
              </w:rPr>
              <w:t>FCL/ECL</w:t>
            </w: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4 Verkeer en vervoer</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5 Onderwijs, sport en cultuur</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r>
              <w:t>55.593</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36"/>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8  Zorg en welzijn</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r>
              <w:t>15.160</w:t>
            </w: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Programma 10 Ruimtelijke inrichting</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283"/>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55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center"/>
              <w:rPr>
                <w:b/>
              </w:rPr>
            </w:pPr>
          </w:p>
        </w:tc>
        <w:tc>
          <w:tcPr>
            <w:tcW w:w="6322"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vAlign w:val="bottom"/>
          </w:tcPr>
          <w:p w:rsidR="00D66137" w:rsidRDefault="00D66137" w:rsidP="001066C7">
            <w:pPr>
              <w:rPr>
                <w:b/>
              </w:rPr>
            </w:pPr>
            <w:r>
              <w:rPr>
                <w:b/>
              </w:rPr>
              <w:t>Bedrijfsvoering</w:t>
            </w:r>
          </w:p>
        </w:tc>
        <w:tc>
          <w:tcPr>
            <w:tcW w:w="1134" w:type="dxa"/>
            <w:tcBorders>
              <w:top w:val="none" w:sz="0" w:space="0" w:color="000000"/>
              <w:left w:val="none" w:sz="0" w:space="0" w:color="000000"/>
              <w:bottom w:val="single" w:sz="4" w:space="0" w:color="FFFFFF"/>
              <w:right w:val="single" w:sz="4" w:space="0" w:color="FFFFFF"/>
            </w:tcBorders>
            <w:shd w:val="clear" w:color="auto" w:fill="95B3D7"/>
            <w:tcMar>
              <w:top w:w="0" w:type="dxa"/>
              <w:left w:w="70" w:type="dxa"/>
              <w:bottom w:w="0" w:type="dxa"/>
              <w:right w:w="70" w:type="dxa"/>
            </w:tcMar>
          </w:tcPr>
          <w:p w:rsidR="00D66137" w:rsidRDefault="00D66137" w:rsidP="001066C7">
            <w:pPr>
              <w:jc w:val="right"/>
              <w:rPr>
                <w:b/>
              </w:rPr>
            </w:pPr>
          </w:p>
        </w:tc>
        <w:tc>
          <w:tcPr>
            <w:tcW w:w="1134" w:type="dxa"/>
            <w:tcBorders>
              <w:top w:val="none" w:sz="0" w:space="0" w:color="000000"/>
              <w:left w:val="none" w:sz="0" w:space="0" w:color="000000"/>
              <w:bottom w:val="single" w:sz="4" w:space="0" w:color="FFFFFF"/>
              <w:right w:val="single" w:sz="4" w:space="0" w:color="FFFFFF"/>
            </w:tcBorders>
            <w:shd w:val="clear" w:color="auto" w:fill="95B3D7"/>
          </w:tcPr>
          <w:p w:rsidR="00D66137" w:rsidRDefault="00D66137" w:rsidP="001066C7">
            <w:pPr>
              <w:jc w:val="right"/>
              <w:rPr>
                <w:b/>
              </w:rPr>
            </w:pPr>
          </w:p>
        </w:tc>
      </w:tr>
      <w:tr w:rsidR="00D66137" w:rsidTr="00D66137">
        <w:trPr>
          <w:trHeight w:val="416"/>
        </w:trPr>
        <w:tc>
          <w:tcPr>
            <w:tcW w:w="552" w:type="dxa"/>
            <w:tcBorders>
              <w:top w:val="none" w:sz="0" w:space="0" w:color="000000"/>
              <w:left w:val="single" w:sz="4" w:space="0" w:color="FFFFFF"/>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center"/>
            </w:pPr>
            <w:bookmarkStart w:id="3" w:name="_GoBack"/>
            <w:bookmarkEnd w:id="3"/>
          </w:p>
        </w:tc>
        <w:tc>
          <w:tcPr>
            <w:tcW w:w="6322"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tc>
        <w:tc>
          <w:tcPr>
            <w:tcW w:w="1134" w:type="dxa"/>
            <w:tcBorders>
              <w:top w:val="none" w:sz="0" w:space="0" w:color="000000"/>
              <w:left w:val="none" w:sz="0" w:space="0" w:color="000000"/>
              <w:bottom w:val="single" w:sz="4" w:space="0" w:color="FFFFFF"/>
              <w:right w:val="single" w:sz="4" w:space="0" w:color="FFFFFF"/>
            </w:tcBorders>
            <w:shd w:val="clear" w:color="auto" w:fill="DCE6F1"/>
            <w:tcMar>
              <w:top w:w="0" w:type="dxa"/>
              <w:left w:w="70" w:type="dxa"/>
              <w:bottom w:w="0" w:type="dxa"/>
              <w:right w:w="70" w:type="dxa"/>
            </w:tcMar>
          </w:tcPr>
          <w:p w:rsidR="00D66137" w:rsidRDefault="00D66137" w:rsidP="001066C7">
            <w:pPr>
              <w:jc w:val="right"/>
            </w:pPr>
          </w:p>
        </w:tc>
        <w:tc>
          <w:tcPr>
            <w:tcW w:w="1134" w:type="dxa"/>
            <w:tcBorders>
              <w:top w:val="none" w:sz="0" w:space="0" w:color="000000"/>
              <w:left w:val="none" w:sz="0" w:space="0" w:color="000000"/>
              <w:bottom w:val="single" w:sz="4" w:space="0" w:color="FFFFFF"/>
              <w:right w:val="single" w:sz="4" w:space="0" w:color="FFFFFF"/>
            </w:tcBorders>
            <w:shd w:val="clear" w:color="auto" w:fill="DCE6F1"/>
          </w:tcPr>
          <w:p w:rsidR="00D66137" w:rsidRDefault="00D66137" w:rsidP="001066C7">
            <w:pPr>
              <w:jc w:val="right"/>
            </w:pPr>
          </w:p>
        </w:tc>
      </w:tr>
      <w:tr w:rsidR="00D66137" w:rsidTr="00D66137">
        <w:trPr>
          <w:trHeight w:val="300"/>
        </w:trPr>
        <w:tc>
          <w:tcPr>
            <w:tcW w:w="552" w:type="dxa"/>
            <w:tcBorders>
              <w:top w:val="none" w:sz="0" w:space="0" w:color="000000"/>
              <w:left w:val="single" w:sz="4" w:space="0" w:color="FFFFFF"/>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center"/>
              <w:rPr>
                <w:b/>
                <w:color w:val="FFFFFF"/>
              </w:rPr>
            </w:pPr>
          </w:p>
        </w:tc>
        <w:tc>
          <w:tcPr>
            <w:tcW w:w="6322"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vAlign w:val="bottom"/>
            <w:hideMark/>
          </w:tcPr>
          <w:p w:rsidR="00D66137" w:rsidRDefault="00D66137" w:rsidP="001066C7">
            <w:pPr>
              <w:rPr>
                <w:b/>
                <w:color w:val="FFFFFF"/>
              </w:rPr>
            </w:pPr>
            <w:r>
              <w:rPr>
                <w:b/>
                <w:color w:val="FFFFFF"/>
              </w:rPr>
              <w:t>Totaal</w:t>
            </w:r>
          </w:p>
        </w:tc>
        <w:tc>
          <w:tcPr>
            <w:tcW w:w="1134" w:type="dxa"/>
            <w:tcBorders>
              <w:top w:val="none" w:sz="0" w:space="0" w:color="000000"/>
              <w:left w:val="none" w:sz="0" w:space="0" w:color="000000"/>
              <w:bottom w:val="single" w:sz="4" w:space="0" w:color="FFFFFF"/>
              <w:right w:val="single" w:sz="4" w:space="0" w:color="FFFFFF"/>
            </w:tcBorders>
            <w:shd w:val="clear" w:color="auto" w:fill="4F81BD"/>
            <w:noWrap/>
            <w:tcMar>
              <w:top w:w="0" w:type="dxa"/>
              <w:left w:w="70" w:type="dxa"/>
              <w:bottom w:w="0" w:type="dxa"/>
              <w:right w:w="70" w:type="dxa"/>
            </w:tcMar>
            <w:hideMark/>
          </w:tcPr>
          <w:p w:rsidR="00D66137" w:rsidRDefault="00D66137" w:rsidP="001066C7">
            <w:pPr>
              <w:jc w:val="right"/>
              <w:rPr>
                <w:b/>
                <w:color w:val="FFFFFF"/>
              </w:rPr>
            </w:pPr>
            <w:r>
              <w:rPr>
                <w:b/>
                <w:color w:val="FFFFFF"/>
              </w:rPr>
              <w:t>1.280.734</w:t>
            </w:r>
          </w:p>
        </w:tc>
        <w:tc>
          <w:tcPr>
            <w:tcW w:w="1134" w:type="dxa"/>
            <w:tcBorders>
              <w:top w:val="none" w:sz="0" w:space="0" w:color="000000"/>
              <w:left w:val="none" w:sz="0" w:space="0" w:color="000000"/>
              <w:bottom w:val="single" w:sz="4" w:space="0" w:color="FFFFFF"/>
              <w:right w:val="single" w:sz="4" w:space="0" w:color="FFFFFF"/>
            </w:tcBorders>
            <w:shd w:val="clear" w:color="auto" w:fill="4F81BD"/>
          </w:tcPr>
          <w:p w:rsidR="00D66137" w:rsidRDefault="00D66137" w:rsidP="001066C7">
            <w:pPr>
              <w:jc w:val="right"/>
              <w:rPr>
                <w:b/>
                <w:color w:val="FFFFFF"/>
              </w:rPr>
            </w:pPr>
          </w:p>
        </w:tc>
      </w:tr>
    </w:tbl>
    <w:p w:rsidR="00D66258" w:rsidRPr="00FE5157" w:rsidRDefault="00D66258" w:rsidP="00D66258"/>
    <w:p w:rsidR="00C37C95" w:rsidRDefault="00C37C95"/>
    <w:sectPr w:rsidR="00C37C95">
      <w:footerReference w:type="default" r:id="rId8"/>
      <w:pgSz w:w="11907" w:h="16839" w:code="9"/>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02" w:rsidRDefault="002544EB">
      <w:r>
        <w:separator/>
      </w:r>
    </w:p>
  </w:endnote>
  <w:endnote w:type="continuationSeparator" w:id="0">
    <w:p w:rsidR="00653002" w:rsidRDefault="0025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95" w:rsidRDefault="002544EB">
    <w:pPr>
      <w:tabs>
        <w:tab w:val="center" w:pos="4703"/>
        <w:tab w:val="right" w:pos="9124"/>
      </w:tabs>
      <w:ind w:right="360"/>
      <w:rPr>
        <w:sz w:val="18"/>
      </w:rPr>
    </w:pPr>
    <w:r>
      <w:rPr>
        <w:sz w:val="18"/>
      </w:rPr>
      <w:tab/>
    </w:r>
    <w:r>
      <w:rPr>
        <w:sz w:val="18"/>
      </w:rPr>
      <w:tab/>
    </w:r>
    <w:r>
      <w:rPr>
        <w:sz w:val="18"/>
      </w:rPr>
      <w:fldChar w:fldCharType="begin"/>
    </w:r>
    <w:r>
      <w:rPr>
        <w:sz w:val="18"/>
      </w:rPr>
      <w:instrText xml:space="preserve"> PAGE </w:instrText>
    </w:r>
    <w:r>
      <w:rPr>
        <w:sz w:val="18"/>
      </w:rPr>
      <w:fldChar w:fldCharType="separate"/>
    </w:r>
    <w:r w:rsidR="00E62332">
      <w:rPr>
        <w:noProof/>
        <w:sz w:val="18"/>
      </w:rPr>
      <w:t>4</w:t>
    </w:r>
    <w:r>
      <w:rPr>
        <w:sz w:val="18"/>
      </w:rPr>
      <w:fldChar w:fldCharType="end"/>
    </w:r>
  </w:p>
  <w:p w:rsidR="00C37C95" w:rsidRDefault="002544EB">
    <w:pPr>
      <w:tabs>
        <w:tab w:val="center" w:pos="4703"/>
        <w:tab w:val="right" w:pos="9124"/>
      </w:tabs>
      <w:ind w:right="360"/>
      <w:rPr>
        <w:sz w:val="18"/>
      </w:rPr>
    </w:pPr>
    <w:r>
      <w:rPr>
        <w:sz w:val="18"/>
      </w:rPr>
      <w:fldChar w:fldCharType="begin"/>
    </w:r>
    <w:r>
      <w:rPr>
        <w:sz w:val="18"/>
      </w:rPr>
      <w:instrText xml:space="preserve"> STYLEREF  "Kop 1"  \* MERGEFORMAT </w:instrText>
    </w:r>
    <w:r>
      <w:rPr>
        <w:sz w:val="18"/>
      </w:rPr>
      <w:fldChar w:fldCharType="separate"/>
    </w:r>
    <w:r w:rsidR="00E62332">
      <w:rPr>
        <w:b/>
        <w:bCs/>
        <w:noProof/>
        <w:sz w:val="18"/>
      </w:rPr>
      <w:t>Fout! Geen tekst met de opgegeven stijl in het document.</w:t>
    </w:r>
    <w:r>
      <w:rPr>
        <w:rFonts w:ascii="Calibri" w:hAnsi="Calibri"/>
        <w:sz w:val="24"/>
      </w:rPr>
      <w:fldChar w:fldCharType="end"/>
    </w:r>
    <w:r>
      <w:rPr>
        <w:sz w:val="18"/>
      </w:rPr>
      <w:t xml:space="preserve">, </w:t>
    </w:r>
    <w:r>
      <w:rPr>
        <w:sz w:val="18"/>
        <w:lang w:bidi="nl-NL"/>
      </w:rPr>
      <w:t>Jaarstukken 2017</w:t>
    </w:r>
    <w:r>
      <w:rPr>
        <w:sz w:val="18"/>
        <w:lang w:bidi="nl-NL"/>
      </w:rPr>
      <w:tab/>
    </w:r>
    <w:r>
      <w:rPr>
        <w:sz w:val="18"/>
        <w:lang w:bidi="nl-NL"/>
      </w:rPr>
      <w:tab/>
    </w:r>
  </w:p>
  <w:p w:rsidR="00C37C95" w:rsidRDefault="002544EB">
    <w:pPr>
      <w:tabs>
        <w:tab w:val="center" w:pos="4703"/>
        <w:tab w:val="right" w:pos="9406"/>
      </w:tabs>
      <w:ind w:right="360"/>
    </w:pPr>
    <w:r>
      <w:rPr>
        <w:sz w:val="18"/>
      </w:rPr>
      <w:t xml:space="preserve">Gemeente </w:t>
    </w:r>
    <w:r>
      <w:rPr>
        <w:sz w:val="18"/>
        <w:lang w:bidi="nl-NL"/>
      </w:rPr>
      <w:t>Son en Breugel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02" w:rsidRDefault="002544EB">
      <w:r>
        <w:separator/>
      </w:r>
    </w:p>
  </w:footnote>
  <w:footnote w:type="continuationSeparator" w:id="0">
    <w:p w:rsidR="00653002" w:rsidRDefault="00254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0725"/>
    <w:multiLevelType w:val="hybridMultilevel"/>
    <w:tmpl w:val="FC247E80"/>
    <w:lvl w:ilvl="0" w:tplc="F00A64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655EB2"/>
    <w:multiLevelType w:val="multilevel"/>
    <w:tmpl w:val="1780DE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95"/>
    <w:rsid w:val="002544EB"/>
    <w:rsid w:val="003A5B8B"/>
    <w:rsid w:val="003E789C"/>
    <w:rsid w:val="00653002"/>
    <w:rsid w:val="006B675F"/>
    <w:rsid w:val="007454D7"/>
    <w:rsid w:val="00AE736B"/>
    <w:rsid w:val="00B210A7"/>
    <w:rsid w:val="00C37C95"/>
    <w:rsid w:val="00D66137"/>
    <w:rsid w:val="00D66258"/>
    <w:rsid w:val="00E62332"/>
    <w:rsid w:val="00FB1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Arial" w:hAnsi="Arial"/>
      <w:sz w:val="20"/>
    </w:rPr>
  </w:style>
  <w:style w:type="paragraph" w:styleId="Kop1">
    <w:name w:val="heading 1"/>
    <w:basedOn w:val="Standaard"/>
    <w:next w:val="Standaard"/>
    <w:pPr>
      <w:outlineLvl w:val="0"/>
    </w:pPr>
    <w:rPr>
      <w:b/>
      <w:color w:val="366092"/>
      <w:sz w:val="28"/>
    </w:rPr>
  </w:style>
  <w:style w:type="paragraph" w:styleId="Kop2">
    <w:name w:val="heading 2"/>
    <w:basedOn w:val="Standaard"/>
    <w:next w:val="Standaard"/>
    <w:pPr>
      <w:spacing w:before="200"/>
      <w:outlineLvl w:val="1"/>
    </w:pPr>
    <w:rPr>
      <w:b/>
      <w:color w:val="4F81BD"/>
      <w:sz w:val="26"/>
    </w:rPr>
  </w:style>
  <w:style w:type="paragraph" w:styleId="Kop3">
    <w:name w:val="heading 3"/>
    <w:basedOn w:val="Standaard"/>
    <w:next w:val="Standaard"/>
    <w:pPr>
      <w:spacing w:before="200"/>
      <w:outlineLvl w:val="2"/>
    </w:pPr>
    <w:rPr>
      <w:b/>
      <w:color w:val="4F81BD"/>
      <w:sz w:val="24"/>
    </w:rPr>
  </w:style>
  <w:style w:type="paragraph" w:styleId="Kop4">
    <w:name w:val="heading 4"/>
    <w:basedOn w:val="Standaard"/>
    <w:next w:val="Standaard"/>
    <w:pPr>
      <w:spacing w:before="200"/>
      <w:outlineLvl w:val="3"/>
    </w:pPr>
    <w:rPr>
      <w:rFonts w:ascii="Cambria" w:hAnsi="Cambria"/>
      <w:b/>
      <w:i/>
      <w:color w:val="4F81BD"/>
    </w:rPr>
  </w:style>
  <w:style w:type="paragraph" w:styleId="Kop5">
    <w:name w:val="heading 5"/>
    <w:basedOn w:val="Standaard"/>
    <w:next w:val="Standaard"/>
    <w:pPr>
      <w:spacing w:before="200"/>
      <w:jc w:val="center"/>
      <w:outlineLvl w:val="4"/>
    </w:pPr>
    <w:rPr>
      <w:sz w:val="64"/>
    </w:rPr>
  </w:style>
  <w:style w:type="paragraph" w:styleId="Kop6">
    <w:name w:val="heading 6"/>
    <w:basedOn w:val="Standaard"/>
    <w:next w:val="Standaard"/>
    <w:pPr>
      <w:spacing w:before="200"/>
      <w:jc w:val="center"/>
      <w:outlineLvl w:val="5"/>
    </w:pPr>
    <w:rPr>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style>
  <w:style w:type="paragraph" w:styleId="Inhopg2">
    <w:name w:val="toc 2"/>
    <w:basedOn w:val="Standaard"/>
  </w:style>
  <w:style w:type="paragraph" w:styleId="Inhopg3">
    <w:name w:val="toc 3"/>
    <w:basedOn w:val="Standaard"/>
  </w:style>
  <w:style w:type="paragraph" w:customStyle="1" w:styleId="BlauwebalkW3">
    <w:name w:val="Blauwe balk W3"/>
    <w:basedOn w:val="Standaard"/>
    <w:pPr>
      <w:shd w:val="clear" w:color="auto" w:fill="4F81BD"/>
      <w:spacing w:line="276" w:lineRule="auto"/>
    </w:pPr>
    <w:rPr>
      <w:b/>
      <w:caps/>
      <w:color w:val="FFFFFF"/>
      <w:sz w:val="22"/>
    </w:rPr>
  </w:style>
  <w:style w:type="paragraph" w:customStyle="1" w:styleId="BlauwebalkNuenen">
    <w:name w:val="Blauwe balk Nuenen"/>
    <w:basedOn w:val="BlauwebalkW3"/>
    <w:pPr>
      <w:shd w:val="clear" w:color="auto" w:fill="DBE5F1"/>
    </w:pPr>
    <w:rPr>
      <w:b w:val="0"/>
      <w:color w:val="000000"/>
    </w:rPr>
  </w:style>
  <w:style w:type="paragraph" w:customStyle="1" w:styleId="RapportStandaard">
    <w:name w:val="Rapport Standaard"/>
    <w:basedOn w:val="Standaard"/>
  </w:style>
  <w:style w:type="character" w:styleId="Regelnummer">
    <w:name w:val="line number"/>
    <w:basedOn w:val="Standaardalinea-lettertype"/>
    <w:semiHidden/>
  </w:style>
  <w:style w:type="character" w:styleId="Hyperlink">
    <w:name w:val="Hyperlink"/>
    <w:rPr>
      <w:color w:val="0000FF"/>
      <w:u w:val="singl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qFormat/>
    <w:rsid w:val="00D66258"/>
    <w:pPr>
      <w:ind w:left="720"/>
      <w:contextualSpacing/>
    </w:pPr>
  </w:style>
  <w:style w:type="paragraph" w:styleId="Tekstzonderopmaak">
    <w:name w:val="Plain Text"/>
    <w:basedOn w:val="Standaard"/>
    <w:link w:val="TekstzonderopmaakChar"/>
    <w:uiPriority w:val="99"/>
    <w:semiHidden/>
    <w:unhideWhenUsed/>
    <w:rsid w:val="00FB105D"/>
    <w:rPr>
      <w:rFonts w:ascii="Calibri" w:eastAsiaTheme="minorHAnsi" w:hAnsi="Calibri"/>
      <w:color w:val="auto"/>
      <w:sz w:val="22"/>
      <w:szCs w:val="22"/>
      <w:lang w:eastAsia="en-US"/>
    </w:rPr>
  </w:style>
  <w:style w:type="character" w:customStyle="1" w:styleId="TekstzonderopmaakChar">
    <w:name w:val="Tekst zonder opmaak Char"/>
    <w:basedOn w:val="Standaardalinea-lettertype"/>
    <w:link w:val="Tekstzonderopmaak"/>
    <w:uiPriority w:val="99"/>
    <w:semiHidden/>
    <w:rsid w:val="00FB105D"/>
    <w:rPr>
      <w:rFonts w:eastAsiaTheme="minorHAns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Arial" w:hAnsi="Arial"/>
      <w:sz w:val="20"/>
    </w:rPr>
  </w:style>
  <w:style w:type="paragraph" w:styleId="Kop1">
    <w:name w:val="heading 1"/>
    <w:basedOn w:val="Standaard"/>
    <w:next w:val="Standaard"/>
    <w:pPr>
      <w:outlineLvl w:val="0"/>
    </w:pPr>
    <w:rPr>
      <w:b/>
      <w:color w:val="366092"/>
      <w:sz w:val="28"/>
    </w:rPr>
  </w:style>
  <w:style w:type="paragraph" w:styleId="Kop2">
    <w:name w:val="heading 2"/>
    <w:basedOn w:val="Standaard"/>
    <w:next w:val="Standaard"/>
    <w:pPr>
      <w:spacing w:before="200"/>
      <w:outlineLvl w:val="1"/>
    </w:pPr>
    <w:rPr>
      <w:b/>
      <w:color w:val="4F81BD"/>
      <w:sz w:val="26"/>
    </w:rPr>
  </w:style>
  <w:style w:type="paragraph" w:styleId="Kop3">
    <w:name w:val="heading 3"/>
    <w:basedOn w:val="Standaard"/>
    <w:next w:val="Standaard"/>
    <w:pPr>
      <w:spacing w:before="200"/>
      <w:outlineLvl w:val="2"/>
    </w:pPr>
    <w:rPr>
      <w:b/>
      <w:color w:val="4F81BD"/>
      <w:sz w:val="24"/>
    </w:rPr>
  </w:style>
  <w:style w:type="paragraph" w:styleId="Kop4">
    <w:name w:val="heading 4"/>
    <w:basedOn w:val="Standaard"/>
    <w:next w:val="Standaard"/>
    <w:pPr>
      <w:spacing w:before="200"/>
      <w:outlineLvl w:val="3"/>
    </w:pPr>
    <w:rPr>
      <w:rFonts w:ascii="Cambria" w:hAnsi="Cambria"/>
      <w:b/>
      <w:i/>
      <w:color w:val="4F81BD"/>
    </w:rPr>
  </w:style>
  <w:style w:type="paragraph" w:styleId="Kop5">
    <w:name w:val="heading 5"/>
    <w:basedOn w:val="Standaard"/>
    <w:next w:val="Standaard"/>
    <w:pPr>
      <w:spacing w:before="200"/>
      <w:jc w:val="center"/>
      <w:outlineLvl w:val="4"/>
    </w:pPr>
    <w:rPr>
      <w:sz w:val="64"/>
    </w:rPr>
  </w:style>
  <w:style w:type="paragraph" w:styleId="Kop6">
    <w:name w:val="heading 6"/>
    <w:basedOn w:val="Standaard"/>
    <w:next w:val="Standaard"/>
    <w:pPr>
      <w:spacing w:before="200"/>
      <w:jc w:val="center"/>
      <w:outlineLvl w:val="5"/>
    </w:pPr>
    <w:rPr>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style>
  <w:style w:type="paragraph" w:styleId="Inhopg2">
    <w:name w:val="toc 2"/>
    <w:basedOn w:val="Standaard"/>
  </w:style>
  <w:style w:type="paragraph" w:styleId="Inhopg3">
    <w:name w:val="toc 3"/>
    <w:basedOn w:val="Standaard"/>
  </w:style>
  <w:style w:type="paragraph" w:customStyle="1" w:styleId="BlauwebalkW3">
    <w:name w:val="Blauwe balk W3"/>
    <w:basedOn w:val="Standaard"/>
    <w:pPr>
      <w:shd w:val="clear" w:color="auto" w:fill="4F81BD"/>
      <w:spacing w:line="276" w:lineRule="auto"/>
    </w:pPr>
    <w:rPr>
      <w:b/>
      <w:caps/>
      <w:color w:val="FFFFFF"/>
      <w:sz w:val="22"/>
    </w:rPr>
  </w:style>
  <w:style w:type="paragraph" w:customStyle="1" w:styleId="BlauwebalkNuenen">
    <w:name w:val="Blauwe balk Nuenen"/>
    <w:basedOn w:val="BlauwebalkW3"/>
    <w:pPr>
      <w:shd w:val="clear" w:color="auto" w:fill="DBE5F1"/>
    </w:pPr>
    <w:rPr>
      <w:b w:val="0"/>
      <w:color w:val="000000"/>
    </w:rPr>
  </w:style>
  <w:style w:type="paragraph" w:customStyle="1" w:styleId="RapportStandaard">
    <w:name w:val="Rapport Standaard"/>
    <w:basedOn w:val="Standaard"/>
  </w:style>
  <w:style w:type="character" w:styleId="Regelnummer">
    <w:name w:val="line number"/>
    <w:basedOn w:val="Standaardalinea-lettertype"/>
    <w:semiHidden/>
  </w:style>
  <w:style w:type="character" w:styleId="Hyperlink">
    <w:name w:val="Hyperlink"/>
    <w:rPr>
      <w:color w:val="0000FF"/>
      <w:u w:val="singl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qFormat/>
    <w:rsid w:val="00D66258"/>
    <w:pPr>
      <w:ind w:left="720"/>
      <w:contextualSpacing/>
    </w:pPr>
  </w:style>
  <w:style w:type="paragraph" w:styleId="Tekstzonderopmaak">
    <w:name w:val="Plain Text"/>
    <w:basedOn w:val="Standaard"/>
    <w:link w:val="TekstzonderopmaakChar"/>
    <w:uiPriority w:val="99"/>
    <w:semiHidden/>
    <w:unhideWhenUsed/>
    <w:rsid w:val="00FB105D"/>
    <w:rPr>
      <w:rFonts w:ascii="Calibri" w:eastAsiaTheme="minorHAnsi" w:hAnsi="Calibri"/>
      <w:color w:val="auto"/>
      <w:sz w:val="22"/>
      <w:szCs w:val="22"/>
      <w:lang w:eastAsia="en-US"/>
    </w:rPr>
  </w:style>
  <w:style w:type="character" w:customStyle="1" w:styleId="TekstzonderopmaakChar">
    <w:name w:val="Tekst zonder opmaak Char"/>
    <w:basedOn w:val="Standaardalinea-lettertype"/>
    <w:link w:val="Tekstzonderopmaak"/>
    <w:uiPriority w:val="99"/>
    <w:semiHidden/>
    <w:rsid w:val="00FB105D"/>
    <w:rPr>
      <w:rFonts w:eastAsiaTheme="minorHAns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2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2A7B413F</Template>
  <TotalTime>89</TotalTime>
  <Pages>4</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Samenwerkingsverband Son en Breugel en Nuenen</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Cortjens</dc:creator>
  <cp:lastModifiedBy>Peter Cortjens</cp:lastModifiedBy>
  <cp:revision>5</cp:revision>
  <dcterms:created xsi:type="dcterms:W3CDTF">2019-01-30T08:40:00Z</dcterms:created>
  <dcterms:modified xsi:type="dcterms:W3CDTF">2019-01-30T10:15:00Z</dcterms:modified>
</cp:coreProperties>
</file>